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3F" w:rsidRDefault="0082703F" w:rsidP="00827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2703F" w:rsidRDefault="0082703F" w:rsidP="00827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82703F" w:rsidRDefault="0082703F" w:rsidP="00827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82703F" w:rsidRDefault="0082703F" w:rsidP="00827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2703F" w:rsidRDefault="0082703F" w:rsidP="00827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3F" w:rsidRDefault="0082703F" w:rsidP="0082703F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3F" w:rsidRDefault="0082703F" w:rsidP="0082703F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03F" w:rsidRDefault="0082703F" w:rsidP="0082703F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09.01.2023 г.                                                                                             № 4</w:t>
      </w:r>
    </w:p>
    <w:p w:rsidR="0082703F" w:rsidRDefault="0082703F" w:rsidP="0082703F">
      <w:pPr>
        <w:rPr>
          <w:sz w:val="20"/>
          <w:szCs w:val="20"/>
        </w:rPr>
      </w:pPr>
    </w:p>
    <w:p w:rsidR="0082703F" w:rsidRDefault="0082703F" w:rsidP="008270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мероприятий, плана и порядка привлечения сил и средств для тушения пожаров и проведения аварийно-спасательных работ на </w:t>
      </w:r>
      <w:proofErr w:type="gramStart"/>
      <w:r>
        <w:rPr>
          <w:b/>
          <w:sz w:val="28"/>
          <w:szCs w:val="28"/>
        </w:rPr>
        <w:t>территории  сельского</w:t>
      </w:r>
      <w:proofErr w:type="gramEnd"/>
      <w:r>
        <w:rPr>
          <w:b/>
          <w:sz w:val="28"/>
          <w:szCs w:val="28"/>
        </w:rPr>
        <w:t xml:space="preserve"> поселения Усманка муниципального района Борский Самарской области.»</w:t>
      </w:r>
    </w:p>
    <w:p w:rsidR="0082703F" w:rsidRDefault="0082703F" w:rsidP="0082703F">
      <w:pPr>
        <w:pStyle w:val="a4"/>
        <w:rPr>
          <w:sz w:val="28"/>
          <w:szCs w:val="28"/>
        </w:rPr>
      </w:pPr>
      <w:r>
        <w:rPr>
          <w:sz w:val="28"/>
          <w:szCs w:val="28"/>
        </w:rPr>
        <w:t>        </w:t>
      </w:r>
    </w:p>
    <w:p w:rsidR="0082703F" w:rsidRDefault="0082703F" w:rsidP="008270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21 декабря 1994 года № 69-ФЗ «О пожарной безопасности»,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во исполнение  Постановления Правительства РФ от 25.04.2012 года № 390 « О противопожарном режиме»  и в целях привлечения сил и средств для тушения пожаров и проведения аварийно-спасательных работ на территории  сельского поселения Усманка,  администрация сельского поселения Усманка</w:t>
      </w:r>
    </w:p>
    <w:p w:rsidR="0082703F" w:rsidRDefault="0082703F" w:rsidP="0082703F">
      <w:pPr>
        <w:pStyle w:val="a4"/>
        <w:rPr>
          <w:b/>
          <w:bCs/>
          <w:sz w:val="28"/>
          <w:szCs w:val="28"/>
        </w:rPr>
      </w:pPr>
    </w:p>
    <w:p w:rsidR="0082703F" w:rsidRDefault="0082703F" w:rsidP="0082703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82703F" w:rsidRDefault="0082703F" w:rsidP="0082703F">
      <w:pPr>
        <w:pStyle w:val="a4"/>
        <w:jc w:val="center"/>
        <w:rPr>
          <w:sz w:val="28"/>
          <w:szCs w:val="28"/>
        </w:rPr>
      </w:pPr>
    </w:p>
    <w:p w:rsidR="0082703F" w:rsidRDefault="0082703F" w:rsidP="0082703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1. Утвердить мероприятия по защите населённого пункта на 2023 год по предупреждению и обеспечению пожарной безопасности в сельском поселении Усманка муниципального района Борский Самарской области (приложение № 1).</w:t>
      </w: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  <w:r>
        <w:rPr>
          <w:sz w:val="28"/>
          <w:szCs w:val="28"/>
        </w:rPr>
        <w:t>2. Утвердить план привлечения сил и средств подразделений пожарной охраны, привлекаемых к тушению в сельском поселении Усманка муниципального района Борский Самарской области (приложение № 2).</w:t>
      </w: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 xml:space="preserve"> привлечения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 и средств для тушения пожаров и проведения аварийно-спасательных работ на территории  сельского поселения Усманка муниципального района Борский Самарской области.</w:t>
      </w: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  <w:r>
        <w:rPr>
          <w:sz w:val="28"/>
          <w:szCs w:val="28"/>
        </w:rPr>
        <w:t>4.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82703F" w:rsidRDefault="0082703F" w:rsidP="00827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03F" w:rsidRPr="0082703F" w:rsidRDefault="0082703F" w:rsidP="0082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5.Постановление опубликовать в газете «Вестник сельского поселения Усманка»,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Усманка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Pr="008270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 w:history="1">
        <w:r w:rsidRPr="008270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 w:rsidRPr="0082703F">
        <w:rPr>
          <w:rFonts w:ascii="Times New Roman" w:hAnsi="Times New Roman" w:cs="Times New Roman"/>
          <w:sz w:val="28"/>
          <w:szCs w:val="28"/>
        </w:rPr>
        <w:t xml:space="preserve"> </w:t>
      </w:r>
      <w:r w:rsidRPr="0082703F"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 w:rsidRPr="0082703F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82703F" w:rsidRPr="0082703F" w:rsidRDefault="0082703F" w:rsidP="00827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03F" w:rsidRDefault="0082703F" w:rsidP="008270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82703F" w:rsidRDefault="0082703F" w:rsidP="008270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на следующий день после его официального опубликования.</w:t>
      </w:r>
    </w:p>
    <w:p w:rsidR="0082703F" w:rsidRDefault="0082703F" w:rsidP="008270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2703F" w:rsidRDefault="0082703F" w:rsidP="008270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Усманка</w:t>
      </w:r>
    </w:p>
    <w:p w:rsidR="0082703F" w:rsidRDefault="0082703F" w:rsidP="008270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82703F" w:rsidRDefault="0082703F" w:rsidP="008270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82703F" w:rsidRDefault="0082703F" w:rsidP="0082703F">
      <w:pPr>
        <w:pStyle w:val="a4"/>
        <w:rPr>
          <w:sz w:val="28"/>
        </w:rPr>
      </w:pPr>
    </w:p>
    <w:p w:rsidR="0082703F" w:rsidRDefault="0082703F" w:rsidP="0082703F">
      <w:pPr>
        <w:pStyle w:val="a4"/>
        <w:rPr>
          <w:sz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jc w:val="right"/>
        <w:rPr>
          <w:szCs w:val="28"/>
        </w:rPr>
      </w:pPr>
      <w:r>
        <w:rPr>
          <w:sz w:val="28"/>
          <w:szCs w:val="28"/>
        </w:rPr>
        <w:t xml:space="preserve"> </w:t>
      </w:r>
    </w:p>
    <w:p w:rsidR="0082703F" w:rsidRDefault="0082703F" w:rsidP="0082703F">
      <w:pPr>
        <w:pStyle w:val="a4"/>
        <w:jc w:val="right"/>
        <w:rPr>
          <w:b/>
          <w:szCs w:val="28"/>
        </w:rPr>
      </w:pPr>
      <w:r>
        <w:rPr>
          <w:b/>
          <w:szCs w:val="28"/>
        </w:rPr>
        <w:t xml:space="preserve"> .</w:t>
      </w:r>
    </w:p>
    <w:p w:rsidR="0082703F" w:rsidRDefault="0082703F" w:rsidP="0082703F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03F" w:rsidRDefault="0082703F" w:rsidP="0082703F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82703F" w:rsidRDefault="0082703F" w:rsidP="0082703F">
      <w:pPr>
        <w:tabs>
          <w:tab w:val="left" w:pos="9356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Усманка 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 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09.01.2023г. № 4</w:t>
      </w:r>
    </w:p>
    <w:p w:rsidR="0082703F" w:rsidRDefault="0082703F" w:rsidP="0082703F">
      <w:pPr>
        <w:pStyle w:val="a4"/>
        <w:jc w:val="right"/>
        <w:rPr>
          <w:sz w:val="24"/>
          <w:szCs w:val="28"/>
        </w:rPr>
      </w:pPr>
      <w:r>
        <w:rPr>
          <w:sz w:val="24"/>
          <w:szCs w:val="28"/>
        </w:rPr>
        <w:t>(приложение №1)</w:t>
      </w:r>
    </w:p>
    <w:p w:rsidR="0082703F" w:rsidRDefault="0082703F" w:rsidP="0082703F">
      <w:pPr>
        <w:spacing w:after="0"/>
        <w:ind w:left="708" w:right="8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3F" w:rsidRDefault="0082703F" w:rsidP="0082703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82703F" w:rsidRDefault="0082703F" w:rsidP="0082703F">
      <w:pPr>
        <w:tabs>
          <w:tab w:val="left" w:pos="8789"/>
          <w:tab w:val="left" w:pos="8931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2703F" w:rsidRDefault="0082703F" w:rsidP="0082703F">
      <w:pPr>
        <w:tabs>
          <w:tab w:val="left" w:pos="8789"/>
          <w:tab w:val="left" w:pos="8931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защите населённого пункта на 2023 год по предупреждению и обеспечению пожарной безопасности  в сельском поселении Усманка муниципального района Борский Самарской области</w:t>
      </w:r>
    </w:p>
    <w:p w:rsidR="0082703F" w:rsidRDefault="0082703F" w:rsidP="0082703F">
      <w:pPr>
        <w:ind w:left="708"/>
        <w:jc w:val="both"/>
        <w:rPr>
          <w:sz w:val="24"/>
          <w:szCs w:val="24"/>
        </w:rPr>
      </w:pPr>
    </w:p>
    <w:tbl>
      <w:tblPr>
        <w:tblStyle w:val="a5"/>
        <w:tblW w:w="106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2"/>
        <w:gridCol w:w="4989"/>
        <w:gridCol w:w="1559"/>
        <w:gridCol w:w="3545"/>
      </w:tblGrid>
      <w:tr w:rsidR="0082703F" w:rsidTr="008270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и лица,  привлекаемые к исполнению</w:t>
            </w:r>
          </w:p>
        </w:tc>
      </w:tr>
      <w:tr w:rsidR="0082703F" w:rsidTr="008270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сил и средств утверждённых Планом привлечения сил и средств для тушения пожаров и проведения аварийно-спасательных работ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 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82703F" w:rsidTr="008270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практическую беседу по теме: «Действия населения при обнаружении возгорания на территории населённого пункта или в его окрестностях»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силы и средства,  утверждённые планами привлечения сил и средств сельского поселения</w:t>
            </w:r>
          </w:p>
        </w:tc>
      </w:tr>
      <w:tr w:rsidR="0082703F" w:rsidTr="008270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пожарной безопасности в границах населённых пунктов и объектов экономики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  пожароопасного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 и организаций</w:t>
            </w:r>
          </w:p>
        </w:tc>
      </w:tr>
      <w:tr w:rsidR="0082703F" w:rsidTr="008270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ремонт и подготовку специальной и приспособленной для целей пожаротушения техники, оборудования и средств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 и организаций</w:t>
            </w:r>
          </w:p>
        </w:tc>
      </w:tr>
      <w:tr w:rsidR="0082703F" w:rsidTr="008270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населения порядок вызова пожарной охраны или добровольной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82703F" w:rsidTr="008270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очистку территорий населённых пунктов и прилегающих к ним территорий от мусора, сухостоя и других сгораемых и легковоспламеняющихся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  пожароопасного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82703F" w:rsidTr="008270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повышении пожарной опасности в установленном порядке вводить на территории поселения особый противопожарный режим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пожароопасного периода</w:t>
            </w:r>
          </w:p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82703F" w:rsidTr="008270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минерализованные полосы вокруг населённого пункта  по границе и поддерживать их в свободном от горючих материалов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пожароопасного периода</w:t>
            </w:r>
          </w:p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82703F" w:rsidTr="008270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приведение в исправное состояние источников противопожарного водоснабжения (пожарные гидранты, водонапорные башни, подъезды к естественным и искусственным водоёмам), обеспечить соответствующее их обозначение и подъезды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82703F" w:rsidRDefault="0082703F" w:rsidP="0082703F">
      <w:pPr>
        <w:rPr>
          <w:rFonts w:eastAsiaTheme="minorHAnsi"/>
          <w:sz w:val="24"/>
          <w:szCs w:val="24"/>
          <w:lang w:eastAsia="en-US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82703F" w:rsidRDefault="0082703F" w:rsidP="0082703F">
      <w:pPr>
        <w:tabs>
          <w:tab w:val="left" w:pos="9356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Усманка 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 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09.01.2023г. № 4</w:t>
      </w:r>
    </w:p>
    <w:p w:rsidR="0082703F" w:rsidRDefault="0082703F" w:rsidP="0082703F">
      <w:pPr>
        <w:pStyle w:val="a4"/>
        <w:jc w:val="right"/>
        <w:rPr>
          <w:sz w:val="24"/>
          <w:szCs w:val="28"/>
        </w:rPr>
      </w:pPr>
      <w:r>
        <w:rPr>
          <w:sz w:val="24"/>
          <w:szCs w:val="28"/>
        </w:rPr>
        <w:t>(приложение №2)</w:t>
      </w:r>
    </w:p>
    <w:p w:rsidR="0082703F" w:rsidRDefault="0082703F" w:rsidP="0082703F">
      <w:pPr>
        <w:pStyle w:val="a4"/>
        <w:jc w:val="center"/>
        <w:rPr>
          <w:b/>
          <w:sz w:val="24"/>
          <w:szCs w:val="24"/>
        </w:rPr>
      </w:pPr>
      <w:r>
        <w:rPr>
          <w:sz w:val="28"/>
          <w:szCs w:val="28"/>
        </w:rPr>
        <w:t> </w:t>
      </w:r>
      <w:r>
        <w:rPr>
          <w:b/>
          <w:sz w:val="24"/>
          <w:szCs w:val="24"/>
        </w:rPr>
        <w:t>План</w:t>
      </w:r>
    </w:p>
    <w:p w:rsidR="0082703F" w:rsidRDefault="0082703F" w:rsidP="0082703F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привлечения сил и средств подразделений пожарной охраны, привлекаемых к тушению в сельском поселении Усманка муниципального района Борский Самарской области</w:t>
      </w:r>
    </w:p>
    <w:p w:rsidR="0082703F" w:rsidRDefault="0082703F" w:rsidP="0082703F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105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4"/>
        <w:gridCol w:w="1304"/>
        <w:gridCol w:w="1486"/>
        <w:gridCol w:w="1036"/>
        <w:gridCol w:w="1559"/>
        <w:gridCol w:w="1134"/>
        <w:gridCol w:w="918"/>
        <w:gridCol w:w="1079"/>
      </w:tblGrid>
      <w:tr w:rsidR="0082703F" w:rsidTr="0082703F">
        <w:trPr>
          <w:trHeight w:val="6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подразделения, адрес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пожарной охраны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населённого пункта, км.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прибытия к месту вызова,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 расчёте (вид/кол-во)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 резерве (вид/кол-во)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личного состава</w:t>
            </w:r>
          </w:p>
        </w:tc>
      </w:tr>
      <w:tr w:rsidR="0082703F" w:rsidTr="0082703F">
        <w:trPr>
          <w:trHeight w:val="690"/>
        </w:trPr>
        <w:tc>
          <w:tcPr>
            <w:tcW w:w="10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3F" w:rsidRDefault="008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3F" w:rsidRDefault="008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3F" w:rsidRDefault="008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3F" w:rsidRDefault="008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3F" w:rsidRDefault="008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3F" w:rsidRDefault="008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карауле:</w:t>
            </w:r>
          </w:p>
        </w:tc>
      </w:tr>
      <w:tr w:rsidR="0082703F" w:rsidTr="0082703F"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Подразделения ДПК,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82703F" w:rsidTr="008270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РОУ СО-ДПК «01»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ЗИЛ (131) </w:t>
            </w:r>
          </w:p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F" w:rsidRDefault="00827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2703F" w:rsidRDefault="0082703F" w:rsidP="0082703F">
      <w:pPr>
        <w:pStyle w:val="a4"/>
        <w:jc w:val="center"/>
        <w:rPr>
          <w:sz w:val="24"/>
          <w:szCs w:val="24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pStyle w:val="a4"/>
        <w:rPr>
          <w:sz w:val="28"/>
          <w:szCs w:val="28"/>
        </w:rPr>
      </w:pPr>
    </w:p>
    <w:p w:rsidR="0082703F" w:rsidRDefault="0082703F" w:rsidP="0082703F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82703F" w:rsidRDefault="0082703F" w:rsidP="0082703F">
      <w:pPr>
        <w:tabs>
          <w:tab w:val="left" w:pos="9356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Усманка 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 </w:t>
      </w:r>
    </w:p>
    <w:p w:rsidR="0082703F" w:rsidRDefault="0082703F" w:rsidP="0082703F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09.01.2023г. № 4</w:t>
      </w:r>
    </w:p>
    <w:p w:rsidR="0082703F" w:rsidRDefault="0082703F" w:rsidP="0082703F">
      <w:pPr>
        <w:pStyle w:val="a4"/>
        <w:jc w:val="right"/>
        <w:rPr>
          <w:sz w:val="24"/>
          <w:szCs w:val="28"/>
        </w:rPr>
      </w:pPr>
      <w:r>
        <w:rPr>
          <w:sz w:val="24"/>
          <w:szCs w:val="28"/>
        </w:rPr>
        <w:t>(приложение №3)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03F" w:rsidRDefault="0082703F" w:rsidP="00827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2703F" w:rsidRDefault="0082703F" w:rsidP="00827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 привлечения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 и средств для тушения пожаров и проведения аварийно-спасательных работ на территории  сельского поселения Усманка муниципального района Борский Самарской области.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 спасательных работ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Усманка муниципального района Борский Самарской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сельское поселение) в соответствии с федеральными законами от 21.12.1994 № 69-Ф3«О пожарной безопасности», от 06.10.2003 1Ч 131 -ФЗ «Об общих принципах организации местного самоуправления в Российской Федерации».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Для тушения пожаров и проведения аварийно-спасательных работ на территории сельского поселения привлекаются следующие силы: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РОУ СО-ДПК «01»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ПСЧ № 134 ПСО 48 противопожарной службы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Самарской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население сельского поселения.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пожарная и специальная техника;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связи;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огнетушащие вещества, находящиеся на вооружении в подразделениях пожарной охраны;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водоподающая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 организаций, предоставляемая на безвозмездной основе.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На тушение пожаров привлекаются силы и средства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 МВД России "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Борский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задачами, возложенными на них законами и иными правовыми актами Российской Федерации и Самарской области.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Для тушения пожаров используются все источники водоснабжения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водообеспечения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Руководители организаций обязаны: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содействие пожарной охране при тушении пожара;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-предоставлять при тушении пожаров на территории организаций необходимые силы и средства;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-обеспечить доступ должностным лицам пожарной охраны при осуществлении ими служебных обязанностей по тушению пожаров на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территории, в здания, сооружения и иные объекты организаций;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Порядок привлечения сил и средств на тушение пожаров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Привлечение сил и средств пожарной охраны и противопожарных формирований организаций на тушение пожаров и проведение аварийно- 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Порядок привлечения сил и средств в границах сельского поселения утверждается Главой сельского поселения, на объектах — руководителем объекта.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 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Координацию деятельности всех видов пожарной охраны и аварийно- спасательных формирований, участвующих в тушении пожаров и проведении аварийно-спасательных работ на территории сельского поселения осуществляет в установленном порядке руководитель противопожарной службы.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 Никто не вправе вмешиваться в действия руководителя тушения пожара или отменять его распоряжения при тушении пожара.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 руководителя тушения пожара обязательные для исполнения всеми должностными лицами и гражданами на территории, на которой осуществляются действия по тушению пожара. При необходимости руководитель тушения может принимать решения, в том числе ограничивающие права должностных лиц и граждан на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территории.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сельского поселения, начальником штаба ГО ЧС по Борскому району принимают меры по привлечению дополнительных сил и средств других противопожарных подразделений и организаций.</w:t>
      </w: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3F" w:rsidRDefault="0082703F" w:rsidP="0082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82703F" w:rsidRDefault="0082703F" w:rsidP="0082703F">
      <w:pPr>
        <w:pStyle w:val="a4"/>
        <w:rPr>
          <w:sz w:val="24"/>
          <w:szCs w:val="24"/>
        </w:rPr>
      </w:pPr>
    </w:p>
    <w:p w:rsidR="0082703F" w:rsidRDefault="0082703F" w:rsidP="0082703F"/>
    <w:p w:rsidR="00904DBF" w:rsidRDefault="00904DBF"/>
    <w:sectPr w:rsidR="0090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F"/>
    <w:rsid w:val="0082703F"/>
    <w:rsid w:val="00890A47"/>
    <w:rsid w:val="0090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2E9DD-30F2-4D2D-8BB8-0E60472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03F"/>
    <w:rPr>
      <w:color w:val="0000FF"/>
      <w:u w:val="single"/>
    </w:rPr>
  </w:style>
  <w:style w:type="paragraph" w:styleId="a4">
    <w:name w:val="No Spacing"/>
    <w:uiPriority w:val="1"/>
    <w:qFormat/>
    <w:rsid w:val="008270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270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827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2023-01-17T10:54:00Z</dcterms:created>
  <dcterms:modified xsi:type="dcterms:W3CDTF">2023-01-17T10:54:00Z</dcterms:modified>
</cp:coreProperties>
</file>